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в законодательстве, касающиеся креативных (творческих) индустрий в Российской Федерации</w:t>
      </w:r>
    </w:p>
    <w:p w14:paraId="03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08.08.2024 № 330-ФЗ «О развитии креативных (творческих) индустрий в Российской Федерации», вступившим в силу 05.02.2025, под креативной (творческой) индустрией понимается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ценностью.</w:t>
      </w:r>
    </w:p>
    <w:p w14:paraId="05000000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их видам отнесены:</w:t>
      </w:r>
    </w:p>
    <w:p w14:paraId="06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индустрии, основанные на историко-культурном наследии;</w:t>
      </w:r>
    </w:p>
    <w:p w14:paraId="07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индустрии, основанные на произведениях литературы и искусства;</w:t>
      </w:r>
    </w:p>
    <w:p w14:paraId="08000000">
      <w:pPr>
        <w:spacing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индустрии, основанные на информационно-телекоммуникационных технологиях;</w:t>
      </w:r>
    </w:p>
    <w:p w14:paraId="09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индустрии, основанные на прикладном творчестве.</w:t>
      </w:r>
    </w:p>
    <w:p w14:paraId="0A000000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 предусмотрены финансовые, имущественные, образовательные, информационные и иные меры государственной поддержки в сфере креативных индустрий, а также установлены условия предоставления указанных мер субъектам креативных индустрий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2025-04-15T09:31:06Z</dcterms:modified>
</cp:coreProperties>
</file>