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&lt;Письмо&gt; Минпросвещения России от 31.07.2024 N 07-3637</w:t>
              <w:br/>
              <w:t xml:space="preserve">"О методических рекомендациях"</w:t>
              <w:br/>
              <w:t xml:space="preserve">(вместе с "Методическими рекомендациями по определению подходов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обеспечению эффективной реализации образовательного процесса в целом, при комплектовании групп, классов в дошкольных образовательных и общеобразовательных организациях")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ПОЛИТИКИ В СФЕРЕ</w:t>
      </w:r>
    </w:p>
    <w:p>
      <w:pPr>
        <w:pStyle w:val="2"/>
        <w:jc w:val="center"/>
      </w:pPr>
      <w:r>
        <w:rPr>
          <w:sz w:val="20"/>
        </w:rPr>
        <w:t xml:space="preserve">ЗАЩИТЫ ПРАВ ДЕТЕЙ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31 июля 2024 г. N 07-3637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МЕТОДИЧЕСКИХ РЕКОМЕНДАЦИЯХ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Департамент государственной политики в сфере защиты прав детей (далее - Департамент) направляет для учета в работе </w:t>
      </w:r>
      <w:hyperlink w:history="0" w:anchor="P29" w:tooltip="МЕТОДИЧЕСКИЕ РЕКОМЕНДАЦИИ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по определению подходов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обеспечению эффективной реализации образовательного процесса в целом, при комплектовании групп, классов в дошкольных образовательных и общеобразовательных организациях (далее - Методические рекомендации), разработанные федеральным государственным бюджетным образовательным учреждением высшего образования "Московский государственный психолого-педагогический университет" (далее - МГППУ) во исполнение </w:t>
      </w:r>
      <w:hyperlink w:history="0" r:id="rId7" w:tooltip="&quot;Перечень поручений по итогам заседания Совета по межнациональным отношениям&quot; (утв. Президентом РФ 19.05.2021 N Пр-831) {КонсультантПлюс}">
        <w:r>
          <w:rPr>
            <w:sz w:val="20"/>
            <w:color w:val="0000ff"/>
          </w:rPr>
          <w:t xml:space="preserve">подпункта "а" пункта 2</w:t>
        </w:r>
      </w:hyperlink>
      <w:r>
        <w:rPr>
          <w:sz w:val="20"/>
        </w:rPr>
        <w:t xml:space="preserve"> перечня поручений Президента Российской Федерации по итогам заседания Совета при Президенте Российской Федерации по межнациональным отношениям 30 марта 2021 г. от 19 мая 2021 г. N Пр-831.</w:t>
      </w:r>
    </w:p>
    <w:p>
      <w:pPr>
        <w:pStyle w:val="0"/>
        <w:spacing w:before="200" w:line-rule="auto"/>
        <w:ind w:firstLine="540"/>
        <w:jc w:val="both"/>
      </w:pPr>
      <w:hyperlink w:history="0" w:anchor="P29" w:tooltip="МЕТОДИЧЕСКИЕ РЕКОМЕНДАЦИИ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разработаны МГППУ в 2022 году на основе проведенного исследования влияния на образовательный процесс соотношения численности совместно обучающихся иностранных граждан и граждан Российской Федерации, включающее в том числе данные по итогам собеседования с руководителями и педагогами образовательных организаций из 17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Обращаем внимание, что в </w:t>
      </w:r>
      <w:hyperlink w:history="0" w:anchor="P29" w:tooltip="МЕТОДИЧЕСКИЕ РЕКОМЕНДАЦИИ">
        <w:r>
          <w:rPr>
            <w:sz w:val="20"/>
            <w:color w:val="0000ff"/>
          </w:rPr>
          <w:t xml:space="preserve">Методических рекомендациях</w:t>
        </w:r>
      </w:hyperlink>
      <w:r>
        <w:rPr>
          <w:sz w:val="20"/>
        </w:rPr>
        <w:t xml:space="preserve"> имеются ссылки на приказы Минпросвещения России, в которые внесены изменения:</w:t>
      </w:r>
    </w:p>
    <w:p>
      <w:pPr>
        <w:pStyle w:val="0"/>
        <w:spacing w:before="200" w:line-rule="auto"/>
        <w:ind w:firstLine="540"/>
        <w:jc w:val="both"/>
      </w:pPr>
      <w:hyperlink w:history="0" r:id="rId8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15 мая 2020 г. N 236 "Об утверждении Порядка приема на обучение по образовательным программам дошкольного образования" (изменения внесены приказом Минпросвещения России от 23 января 2023 г. N 50);</w:t>
      </w:r>
    </w:p>
    <w:p>
      <w:pPr>
        <w:pStyle w:val="0"/>
        <w:spacing w:before="200" w:line-rule="auto"/>
        <w:ind w:firstLine="540"/>
        <w:jc w:val="both"/>
      </w:pPr>
      <w:hyperlink w:history="0" r:id="rId9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(изменения внесены приказом Минпросвещения России от 30 августа 2023 г. N 642);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просвещения России от 22.03.2021 N 115 (ред. от 29.09.2023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&quot; (Зарегистрировано в Минюсте России 20.04.2021 N 6318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22 марта 2021 г. N 115 "Об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 (изменения внесены приказом Минпросвещения России от 3 августа 2023 г. N 581).</w:t>
      </w:r>
    </w:p>
    <w:p>
      <w:pPr>
        <w:pStyle w:val="0"/>
        <w:spacing w:before="200" w:line-rule="auto"/>
        <w:ind w:firstLine="540"/>
        <w:jc w:val="both"/>
      </w:pPr>
      <w:hyperlink w:history="0" w:anchor="P29" w:tooltip="МЕТОДИЧЕСКИЕ РЕКОМЕНДАЦИИ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адресованы исполнительным органам субъектов Российской Федерации, осуществляющим государственное управление в сфере образования, органам местного самоуправления, осуществляющим управление в сфере образования, а также образовательным организациям, реализующим программы дошкольного, начального общего, основного общего и среднего общего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Исполняющая обязанности</w:t>
      </w:r>
    </w:p>
    <w:p>
      <w:pPr>
        <w:pStyle w:val="0"/>
        <w:jc w:val="right"/>
      </w:pPr>
      <w:r>
        <w:rPr>
          <w:sz w:val="20"/>
        </w:rPr>
        <w:t xml:space="preserve">директора департамента</w:t>
      </w:r>
    </w:p>
    <w:p>
      <w:pPr>
        <w:pStyle w:val="0"/>
        <w:jc w:val="right"/>
      </w:pPr>
      <w:r>
        <w:rPr>
          <w:sz w:val="20"/>
        </w:rPr>
        <w:t xml:space="preserve">Ю.А.КОСТЫРЯЧЕНКО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МЕТОДИЧЕСКИЕ РЕКОМЕНДАЦИИ</w:t>
      </w:r>
    </w:p>
    <w:p>
      <w:pPr>
        <w:pStyle w:val="2"/>
        <w:jc w:val="center"/>
      </w:pPr>
      <w:r>
        <w:rPr>
          <w:sz w:val="20"/>
        </w:rPr>
        <w:t xml:space="preserve">ПО ОПРЕДЕЛЕНИЮ ПОДХОДОВ К УСТАНОВЛЕНИЮ СООТНОШЕНИЯ</w:t>
      </w:r>
    </w:p>
    <w:p>
      <w:pPr>
        <w:pStyle w:val="2"/>
        <w:jc w:val="center"/>
      </w:pPr>
      <w:r>
        <w:rPr>
          <w:sz w:val="20"/>
        </w:rPr>
        <w:t xml:space="preserve">ЧИСЛЕННОСТИ СОВМЕСТНО ОБУЧАЮЩИХСЯ ИНОСТРАННЫХ ГРАЖДАН</w:t>
      </w:r>
    </w:p>
    <w:p>
      <w:pPr>
        <w:pStyle w:val="2"/>
        <w:jc w:val="center"/>
      </w:pPr>
      <w:r>
        <w:rPr>
          <w:sz w:val="20"/>
        </w:rPr>
        <w:t xml:space="preserve">И ГРАЖДАН РОССИЙСКОЙ ФЕДЕРАЦИИ, ОПТИМАЛЬНОГО ДЛЯ СОЦИАЛЬНОЙ,</w:t>
      </w:r>
    </w:p>
    <w:p>
      <w:pPr>
        <w:pStyle w:val="2"/>
        <w:jc w:val="center"/>
      </w:pPr>
      <w:r>
        <w:rPr>
          <w:sz w:val="20"/>
        </w:rPr>
        <w:t xml:space="preserve">ЯЗЫКОВОЙ И КУЛЬТУРНОЙ АДАПТАЦИИ НЕСОВЕРШЕННОЛЕТНИХ</w:t>
      </w:r>
    </w:p>
    <w:p>
      <w:pPr>
        <w:pStyle w:val="2"/>
        <w:jc w:val="center"/>
      </w:pPr>
      <w:r>
        <w:rPr>
          <w:sz w:val="20"/>
        </w:rPr>
        <w:t xml:space="preserve">ИНОСТРАННЫХ ГРАЖДАН И ОБЕСПЕЧЕНИЮ ЭФФЕКТИВНОЙ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ОБРАЗОВАТЕЛЬНОГО ПРОЦЕССА В ЦЕЛОМ, ПРИ КОМПЛЕКТОВАНИИ</w:t>
      </w:r>
    </w:p>
    <w:p>
      <w:pPr>
        <w:pStyle w:val="2"/>
        <w:jc w:val="center"/>
      </w:pPr>
      <w:r>
        <w:rPr>
          <w:sz w:val="20"/>
        </w:rPr>
        <w:t xml:space="preserve">ГРУПП, КЛАССОВ В ДОШКОЛЬНЫХ ОБРАЗОВАТЕЛЬНЫХ</w:t>
      </w:r>
    </w:p>
    <w:p>
      <w:pPr>
        <w:pStyle w:val="2"/>
        <w:jc w:val="center"/>
      </w:pPr>
      <w:r>
        <w:rPr>
          <w:sz w:val="20"/>
        </w:rPr>
        <w:t xml:space="preserve">И ОБЩЕОБРАЗОВАТЕЛЬНЫХ ОРГАНИЗАЦИЯХ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Введение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Методические рекомендации по определению подходов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обеспечивающего эффективную реализацию образовательного процесса в целом, при комплектовании групп, классов в дошкольных образовательных и общеобразовательных организациях (далее - Методические рекомендации), разработаны в рамках пункта 3 поручения Правительства Российской Федерации от 27 мая 2021 г. N ДЧ-П44-6775 и во исполнение </w:t>
      </w:r>
      <w:hyperlink w:history="0" r:id="rId11" w:tooltip="&quot;Перечень поручений по итогам заседания Совета по межнациональным отношениям&quot; (утв. Президентом РФ 19.05.2021 N Пр-831) {КонсультантПлюс}">
        <w:r>
          <w:rPr>
            <w:sz w:val="20"/>
            <w:color w:val="0000ff"/>
          </w:rPr>
          <w:t xml:space="preserve">подпункта "а" пункта 2</w:t>
        </w:r>
      </w:hyperlink>
      <w:r>
        <w:rPr>
          <w:sz w:val="20"/>
        </w:rPr>
        <w:t xml:space="preserve"> перечня поручений Президента Российской Федерации по итогам заседания Совета при Президенте Российской Федерации по межнациональным отношениям 30 марта 2021 г. от 19 мая 2021 г. N Пр-831.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Методические рекомендации адресованы органам исполнительной власти субъектов Российской Федерации, осуществляющих государственное управление в сфере образования, органам местного самоуправления, осуществляющим управление в сфере образования, а также образовательным организациям, реализующим программы дошкольного, начального общего,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подготовке настоящего документа учтены данные аналитического отчета "Подходы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обучающихся иностранных граждан" (далее - аналитический отчет), подготовленного федеральным государственным бюджетным образовательным учреждением высшего образования "Московский государственный психолого-педагогический университет" (далее - ФГБОУ ВО МГППУ) по заказу Минпросвещения России, который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по определению подходов к установлению соотношения численности совместно обучающихся иностранных граждан и граждан Российской Федерации (далее - соотношение), оптимального для социальной, языковой и культурной адаптации обучающихся иностранных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по учету соотношения при комплектовании групп, классов в дошкольных образовательных организациях и общеобразовательных организациях по итогам проведенного мониторинга.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 реализации несовершеннолетними иностранными гражданами</w:t>
      </w:r>
    </w:p>
    <w:p>
      <w:pPr>
        <w:pStyle w:val="2"/>
        <w:jc w:val="center"/>
      </w:pPr>
      <w:r>
        <w:rPr>
          <w:sz w:val="20"/>
        </w:rPr>
        <w:t xml:space="preserve">права на образование в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статьей 62</w:t>
        </w:r>
      </w:hyperlink>
      <w:r>
        <w:rPr>
          <w:sz w:val="20"/>
        </w:rPr>
        <w:t xml:space="preserve"> Конституции Российской Федерации иностранные граждане и лица без гражданства пользуются в Российской Федерации правами наравне с гражданами Российской Федерации, кроме случаев, установленных федеральными законами или международными договорами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1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(далее - Закон об образовании) обеспечена синхронизация данного конституционного права на получение иностранными гражданами и лицами без гражданства дошкольного, начального общего, основного общего и среднего общего образования наравне с гражданами Российской Федерации (</w:t>
      </w:r>
      <w:hyperlink w:history="0" r:id="rId1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78</w:t>
        </w:r>
      </w:hyperlink>
      <w:r>
        <w:rPr>
          <w:sz w:val="20"/>
        </w:rPr>
        <w:t xml:space="preserve"> Закона об образовании).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статье 5</w:t>
        </w:r>
      </w:hyperlink>
      <w:r>
        <w:rPr>
          <w:sz w:val="20"/>
        </w:rPr>
        <w:t xml:space="preserve"> Закона об образовании в Российской Федерации гарантированы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6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приказу</w:t>
        </w:r>
      </w:hyperlink>
      <w:r>
        <w:rPr>
          <w:sz w:val="20"/>
        </w:rPr>
        <w:t xml:space="preserve"> Минпросвещения России от 15 мая 2020 г. N 236 "Об утверждении Порядка приема на обучение по образовательным программам дошкольного образования" (далее - Порядок N 236)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установление опеки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 психолого-медико-педагогической комиссии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потребность в обучении в группе оздоровительной направленности (при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предъявляемых при приеме документов хранятся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7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пункту 9</w:t>
        </w:r>
      </w:hyperlink>
      <w:r>
        <w:rPr>
          <w:sz w:val="20"/>
        </w:rPr>
        <w:t xml:space="preserve"> Порядка N 236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для направления и (или) приема родителями (законными представителями) ребенка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(последнее - при наличии)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рождения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реквизиты свидетельства о рождении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места жительства (места пребывания, места фактического проживания)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фамилия, имя, отчество (последнее - при наличии) родителей (законных представителей)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реквизиты документа, удостоверяющего личность родителя (законного представителя)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реквизиты документа, подтверждающего установление опеки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адрес электронной почты, номер телефона (при наличии) родителей (законных представителей)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 направленности дошкольной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о необходимом режиме пребывания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о желаемой дате приема на обучение.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>
      <w:pPr>
        <w:pStyle w:val="0"/>
        <w:spacing w:before="200" w:line-rule="auto"/>
        <w:ind w:firstLine="540"/>
        <w:jc w:val="both"/>
      </w:pPr>
      <w:hyperlink w:history="0" r:id="rId18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(далее - Порядок N 458) определено, что родитель(и) (законный(ые) представитель(и) ребенка или поступающий представляют, наряду с общеустановленным перечнем,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удостоверяющего личность родителя (законного представителя)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рождении ребенка или документа, подтверждающего родство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подтверждающего установление опеки или попечительства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заключения психолого-медико-педагогической комиссии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родитель(-и) (законный(-ые) представитель(и) ребенка предъявляет(ют) оригиналы документов, указанных в </w:t>
      </w:r>
      <w:hyperlink w:history="0" r:id="rId19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}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- </w:t>
      </w:r>
      <w:hyperlink w:history="0" r:id="rId2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}">
        <w:r>
          <w:rPr>
            <w:sz w:val="20"/>
            <w:color w:val="0000ff"/>
          </w:rPr>
          <w:t xml:space="preserve">пятом пункта 26</w:t>
        </w:r>
      </w:hyperlink>
      <w:r>
        <w:rPr>
          <w:sz w:val="20"/>
        </w:rPr>
        <w:t xml:space="preserve"> Положения N 458, а поступающий - оригинал документа, удостоверяющего личность поступающего.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, </w:t>
      </w:r>
      <w:hyperlink w:history="0" r:id="rId2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3 статьи 67</w:t>
        </w:r>
      </w:hyperlink>
      <w:r>
        <w:rPr>
          <w:sz w:val="20"/>
        </w:rPr>
        <w:t xml:space="preserve"> Закона об образовании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приеме в государственную или муниципальную образовательную организацию в соответствии с </w:t>
      </w:r>
      <w:hyperlink w:history="0" r:id="rId2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 образовании может быть отказано только по причине отсутствия в ней свободных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 (</w:t>
      </w:r>
      <w:hyperlink w:history="0" r:id="rId2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4 статьи 67</w:t>
        </w:r>
      </w:hyperlink>
      <w:r>
        <w:rPr>
          <w:sz w:val="20"/>
        </w:rPr>
        <w:t xml:space="preserve"> Закона об образовании).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в образовательную организацию осуществляется в течение всего календарного года при наличии свободных мест (</w:t>
      </w:r>
      <w:hyperlink w:history="0" r:id="rId25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пункт 7</w:t>
        </w:r>
      </w:hyperlink>
      <w:r>
        <w:rPr>
          <w:sz w:val="20"/>
        </w:rPr>
        <w:t xml:space="preserve"> Порядка N 236, и </w:t>
      </w:r>
      <w:hyperlink w:history="0" r:id="rId26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}">
        <w:r>
          <w:rPr>
            <w:sz w:val="20"/>
            <w:color w:val="0000ff"/>
          </w:rPr>
          <w:t xml:space="preserve">пункт 14</w:t>
        </w:r>
      </w:hyperlink>
      <w:r>
        <w:rPr>
          <w:sz w:val="20"/>
        </w:rPr>
        <w:t xml:space="preserve"> Порядка N 458).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2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статье 3</w:t>
        </w:r>
      </w:hyperlink>
      <w:r>
        <w:rPr>
          <w:sz w:val="20"/>
        </w:rPr>
        <w:t xml:space="preserve"> Закона об образовании государственная политика и правовое регулирование отношений в сфере образования основываются в том числе на принципе обеспечения права каждого человека на образование, недопустимости дискриминации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образовательная организация обязана, в том числе, соблюдать права и свободы обучающихся, родителей (законных представителей) несовершеннолетних обучающихся, работников образовательной организации (</w:t>
      </w:r>
      <w:hyperlink w:history="0" r:id="rId2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статья 28</w:t>
        </w:r>
      </w:hyperlink>
      <w:r>
        <w:rPr>
          <w:sz w:val="20"/>
        </w:rPr>
        <w:t xml:space="preserve"> Закона об образовании).</w:t>
      </w:r>
    </w:p>
    <w:p>
      <w:pPr>
        <w:pStyle w:val="0"/>
        <w:spacing w:before="200" w:line-rule="auto"/>
        <w:ind w:firstLine="540"/>
        <w:jc w:val="both"/>
      </w:pPr>
      <w:hyperlink w:history="0" r:id="rId29" w:tooltip="Приказ Минпросвещения России от 22.03.2021 N 115 (ред. от 29.09.2023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&quot; (Зарегистрировано в Минюсте России 20.04.2021 N 63180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России от 22 марта 2021 г. N 115 (далее - Порядок N 115), установлено, что при наличии необходимых условий (кадровых, финансовых, материально-технических и иных условий) возможно деление классов на группы при проведении учебных занятий, курсов,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в соответствии со </w:t>
      </w:r>
      <w:hyperlink w:history="0" r:id="rId3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статьей 41</w:t>
        </w:r>
      </w:hyperlink>
      <w:r>
        <w:rPr>
          <w:sz w:val="20"/>
        </w:rPr>
        <w:t xml:space="preserve"> Закона об образовании образовательные организации создают условия для охраны здоровья обучающихся, в том числе обеспечивают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и соблюдение государственных санитарно-эпидемиологических правил и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Так, согласно </w:t>
      </w:r>
      <w:hyperlink w:history="0" r:id="rId31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пункту 3.4.14</w:t>
        </w:r>
      </w:hyperlink>
      <w:r>
        <w:rPr>
          <w:sz w:val="20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(далее - СП 2.4.3648-20),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образовательные организации самостоятельно формируют группы, классы из лиц, осваивающих общеобразовательную программу, в соответствии с </w:t>
      </w:r>
      <w:hyperlink w:history="0" r:id="rId32" w:tooltip="Приказ Минпросвещения России от 22.03.2021 N 115 (ред. от 29.09.2023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&quot; (Зарегистрировано в Минюсте России 20.04.2021 N 63180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N 115 и </w:t>
      </w:r>
      <w:hyperlink w:history="0" r:id="rId33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с учетом недопустимости дискриминации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</w:t>
      </w:r>
      <w:hyperlink w:history="0" r:id="rId3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28 января 2021 г. N 2 "Об утверждении санитарных правил и норм СанПиН" 1.2.3685-21 "Гигиенические нормативы и требования к обеспечению безопасности и (или) безвредности для человека факторов среды обитания" способствует созданию безопасных условий обучения в соответствии с разработанными нормативами, что делает образовательное пространство более уютным и современным. Согласно данному СанПиНу, допускается предусматривать трансформируемые пространства для многофункционального назначения - актовый зал, обеденный зал, рекреации, библиотека, спортивный зал, учебные классы (</w:t>
      </w:r>
      <w:hyperlink w:history="0" r:id="rId35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пункт 2.3.2</w:t>
        </w:r>
      </w:hyperlink>
      <w:r>
        <w:rPr>
          <w:sz w:val="20"/>
        </w:rPr>
        <w:t xml:space="preserve"> СП 2.4.3648-20). Некоторые правила относятся и к организации внеурочной деятельности. Часы, отведенные на таковую, должны быть организованы в формах, отличных от урочных. Это могут быть проведение общественно полезных практик, исследовательской деятельности, реализация образовательных проектов, организация экскурсий, походов, соревнований, посещений театров, музеев и т.п. (</w:t>
      </w:r>
      <w:hyperlink w:history="0" r:id="rId36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абзац третий пункта 3.4.16</w:t>
        </w:r>
      </w:hyperlink>
      <w:r>
        <w:rPr>
          <w:sz w:val="20"/>
        </w:rPr>
        <w:t xml:space="preserve"> СП 2.4.364), что также является исполнением права на образование и создание условий для охраны здоровья обучающихся граждан 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 мониторинге соотношения численности совместно</w:t>
      </w:r>
    </w:p>
    <w:p>
      <w:pPr>
        <w:pStyle w:val="2"/>
        <w:jc w:val="center"/>
      </w:pPr>
      <w:r>
        <w:rPr>
          <w:sz w:val="20"/>
        </w:rPr>
        <w:t xml:space="preserve">обучающихся иностранных граждан и граждан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 данным сбора информации, осуществленным с помощью мониторинговой системы Минпросвещения России </w:t>
      </w:r>
      <w:hyperlink w:history="0" r:id="rId37">
        <w:r>
          <w:rPr>
            <w:sz w:val="20"/>
            <w:color w:val="0000ff"/>
          </w:rPr>
          <w:t xml:space="preserve">http://1sep.edu.ru</w:t>
        </w:r>
      </w:hyperlink>
      <w:r>
        <w:rPr>
          <w:sz w:val="20"/>
        </w:rPr>
        <w:t xml:space="preserve">. Федерального института цифровой трансформации в сфере образования на 20 сентября 2022 года обучалось всего 17 762 326 обучающихся, из них численность несовершеннолетних иностранных граждан на уровнях дошкольного, начального, основного, среднего общего образования, среднего специального образования, а также обучающихся в форме семейного образования и самообразования в Российской Федерации составила - 249 850 человек. Общее соотношение численности совместно обучающихся иностранных граждан по отношению к численности обучающихся граждан Российской Федерации составляет 1,5%.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анализа результатов проведенного Минпросвещения России в IV квартале 2022 года мониторинга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обеспечивающего эффективную реализацию образовательного процесса в целом, при комплектовании групп, классов в дошкольных образовательных и общеобразовательных организациях, ФГБОУ ВО МГППУ удалось прийти к следующим выводам.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Соотношение численности муниципальных образований, в которых совместно обучаются иностранные граждане и граждане Российской Федерации к общему числу муниципальных образований субъектов Российской Федерации, включенных в мониторинг, составляет - 69,41%.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Соотношение численности общеобразовательных организаций, в которых совместно обучаются иностранные граждане и граждане Российской Федерации к общему числу общеобразовательных организаций, составляет 34,89%.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Общее число общеобразовательных организаций с соотношением количества обучающихся иностранных граждан и граждан Российской Федерации в общеобразовательных организациях составляет: менее 3% - 11 062; от 3% до 10% - 2522; от 10% до 20% - 328; от 20% до 50% - 143; свыше 50% - 36.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наблюдается, что наиболее распространенное соотношение обучающихся иностранных граждан и граждан Российской Федерации в общеобразовательных организациях страны составляет от 0 до 10%, соотношение свыше 50% представлено в единичных школах страны: Республика Башкортостан (1), Республика Крым (29), Свердловская область (2), Тульская область (2), Новосибирская область (1), Саратовская область (1)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Развернутые данные по распределению по регионам соотношений от 3% до 10%, от 10% до 20% и от 20% до 50% представлены в прилагаемых таблицах (</w:t>
      </w:r>
      <w:hyperlink w:history="0" w:anchor="P262" w:tooltip="ПЕРЕЧЕНЬ">
        <w:r>
          <w:rPr>
            <w:sz w:val="20"/>
            <w:color w:val="0000ff"/>
          </w:rPr>
          <w:t xml:space="preserve">Приложения N 1</w:t>
        </w:r>
      </w:hyperlink>
      <w:r>
        <w:rPr>
          <w:sz w:val="20"/>
        </w:rPr>
        <w:t xml:space="preserve"> - </w:t>
      </w:r>
      <w:hyperlink w:history="0" w:anchor="P679" w:tooltip="Приложение 3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Подходы к установлению соотношения численности</w:t>
      </w:r>
    </w:p>
    <w:p>
      <w:pPr>
        <w:pStyle w:val="2"/>
        <w:jc w:val="center"/>
      </w:pPr>
      <w:r>
        <w:rPr>
          <w:sz w:val="20"/>
        </w:rPr>
        <w:t xml:space="preserve">совместно обучающихся иностранных граждан и граждан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оптимальному для социальной, языковой</w:t>
      </w:r>
    </w:p>
    <w:p>
      <w:pPr>
        <w:pStyle w:val="2"/>
        <w:jc w:val="center"/>
      </w:pPr>
      <w:r>
        <w:rPr>
          <w:sz w:val="20"/>
        </w:rPr>
        <w:t xml:space="preserve">и культурной адаптации обучающихся иностранных граждан,</w:t>
      </w:r>
    </w:p>
    <w:p>
      <w:pPr>
        <w:pStyle w:val="2"/>
        <w:jc w:val="center"/>
      </w:pPr>
      <w:r>
        <w:rPr>
          <w:sz w:val="20"/>
        </w:rPr>
        <w:t xml:space="preserve">а также по учету такого соотношения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настоящее время в Российской Федерации существуют места резидентной концентрации иностранных граждан, находящиеся рядом с которыми школы, считаются "мигрантскими", где доля таких обучающихся относительно высока. Несмотря на то, что такие образовательные организации оказываются с низкими образовательными результатами, для большинства обучающихся иностранных граждан - это единственная возможность получить 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Учитывая вышеизложенное, определены два основных подхода к определению численности совместно обучающихся иностранных граждан и граждан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- числовой (пропорциональный) подход к установлению соотношения численности совместно обучающихся иностранных граждан и граждан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Он исходит из наличия некоторой пропорции, оптимальной для социальной, языковой и культурной адаптации обучающихся иностранных граждан. Данный подход устанавливает зависимость соотношения численности совместно обучающихся несовершеннолетних иностранных граждан и граждан Российской Федерации от гражданской принадлежности обучающихся, что представляется избыточным и необоснованным административным барьером, препятствующим реализации их прав на получение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Очевидно, что в данном вопросе определяющими критериями должны быть индивидуальные особенности обучающегося. Основываясь на многофакторности процесса адаптации детей иностранных граждан, этот подход имеет риски внедрения. Более того, может привести к реализации запретительных мер и установлению дополнительных барьеров для обучения детей иностранных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Второй - инклюзивный подход. Он исходит из того, что негативным фактором для обучения является концентрация социально-экономического неравенства в локальной образовательной среде, и отсутствие работы по адаптации и интеграции иностранных граждан, а не их концентрация.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Как отмечено в "</w:t>
      </w:r>
      <w:hyperlink w:history="0" r:id="rId38" w:tooltip="&lt;Письмо&gt; Минпросвещения России от 16.08.2021 N НН-202/07 &quot;О направлении методических рекомендаций&quot; (вместе с &quot;Методическими рекомендациям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&quot; {КонсультантПлюс}">
        <w:r>
          <w:rPr>
            <w:sz w:val="20"/>
            <w:color w:val="0000ff"/>
          </w:rPr>
          <w:t xml:space="preserve">Методических рекомендациях</w:t>
        </w:r>
      </w:hyperlink>
      <w:r>
        <w:rPr>
          <w:sz w:val="20"/>
        </w:rPr>
        <w:t xml:space="preserve">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граждан" &lt;1&gt;, именно инклюзивный подход позволяет дифференцировать обучающихся по языковым, социальным и культурным особенностям индивидуума, основываясь на индивидуальном анализе особых образовательных потребностей каждого ребенка. Также он обеспечивает возможность того, чтобы образовательные организации, проводя работу по адаптации и социализации детей иностранных граждан, подключали при необходимости к ней не только детей-иностранцев, но и детей с миграционной историей, уже имеющих российское гражданство.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Направлены руководителям органов исполнительной власти субъектов Российской Федерации, осуществляющих государственное управление в сфере образования (</w:t>
      </w:r>
      <w:hyperlink w:history="0" r:id="rId39" w:tooltip="&lt;Письмо&gt; Минпросвещения России от 16.08.2021 N НН-202/07 &quot;О направлении методических рекомендаций&quot; (вместе с &quot;Методическими рекомендациям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&quot; {КонсультантПлюс}">
        <w:r>
          <w:rPr>
            <w:sz w:val="20"/>
            <w:color w:val="0000ff"/>
          </w:rPr>
          <w:t xml:space="preserve">письмо</w:t>
        </w:r>
      </w:hyperlink>
      <w:r>
        <w:rPr>
          <w:sz w:val="20"/>
        </w:rPr>
        <w:t xml:space="preserve"> Минпросвещения России от 16 августа 2021 г. N НН-202/07)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Инклюзивный подход позволяет обеспечить эффективное изучение русского языка и культуры посредством погружения обучающегося в языковую и социокультурную среду, что является на сегодняшний день наиболее эффективной образовательной и воспитательной практикой. Мероприятия, обеспечивающие внедрение инклюзивного подхода, запланированы в Комплексе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численность совместно обучающихся иностранных граждан и граждан Российской Федерации определяется в каждом конкретном случае посредством анализа соотношения специфики образовательных потребностей детей иностранных граждан, обучающихся в конкретном учреждении и учета ресурсов образовательной организации, которые необходимы для обеспечения процесса адаптации и интеграции несовершеннолетних.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40" w:tooltip="&lt;Письмо&gt; Минпросвещения России от 16.08.2021 N НН-202/07 &quot;О направлении методических рекомендаций&quot; (вместе с &quot;Методическими рекомендациям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&quot; {КонсультантПлюс}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об организации работы общеобразовательных организаций по языковой и социокультурной адаптации детей иностранных граждан (письмо Минпросвещения России от 16 августа 2021 г., N НН-202/07 ttps://legalacts.ru/doc/metodicheskie-rekomendatsii-organam-ispolnitelnoi-vlasti-subektov-rossiiskoi-federatsii-ob/)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Оптимальное соотношение численности обучающихся иностранных граждан в общей численности обучающихся иных категории должно соответствовать степени выраженности особых образовательных потребностей детей иностранных граждан и возможностей общеобразовательной организации для их обучения. Представляется, что наличие в образовательной организации более 3% детей (от общей численности учащихся) иностранных граждан с выраженными особыми образовательными потребностями должно вести к задействованию дополнительных мер финансовой и методической поддержки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Именно такие общеобразовательные организации являются ключевыми субъектами помощи в рамках данного подхода.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при комплектовании групп, классов в дошкольных образовательных организациях и общеобразовательных организациях представляется целесообразным ориентироваться на положения </w:t>
      </w:r>
      <w:hyperlink w:history="0" r:id="rId41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пункта 3.4.14</w:t>
        </w:r>
      </w:hyperlink>
      <w:r>
        <w:rPr>
          <w:sz w:val="20"/>
        </w:rPr>
        <w:t xml:space="preserve"> СП 2.4.3648-20, в которых указано, что "количество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Соответствующие нормы можно соотносить с результатами диагностики особых образовательных потребностей детей иностранных граждан. При слабом владении русским языком, особенно в сочетании с выраженными иными особыми образовательными потребностями, его эффективное обучение очевидно не проще, чем обучение ребенка с ограниченными возможностями здоровья, таким образом, необходимо стремиться к тому, чтобы в классе (группе) не было более 3 детей, плохо владеющих русским языком. При этом данную цифру следует рассматривать исключительно как целевой ориентир, а не как реализацию запретительных мер на обучение детей иностранных граждан, плохо владеющих русским языком. Соответствующая норма может быть рассмотрена как ориентировочная и соотнесена с общим распространением психического нездоровья и овладением предметными знаниями в школе. В целом, при распределении детей иностранных граждан по группам (классам) в рамках одной параллели необходимо стремиться к их максимально равному распределению.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Дополнительное подтверждение указанным выше ориентировочным цифрам получено в ходе выборочных исследований, проводившихся в образовательных организациях Российской Федерации 17 субъектов Российской Федерации Автономной некоммерческой организацией Центр содействия межнациональному образованию "ЭТНОСФЕРА" и Федеральным государственным бюджетным образовательным учреждением "Московский педагогический государственный университет". Исследования, включавшие глубинные интервью и собеседования с педагогами и администрацией образовательных организаций, осуществлены в рамках проектов, поддержанных Фондом президентских грантов: "Интеграция детей из семей иноэтничных мигрантов: консультативная и методическая поддержка школ и детских садов в регионах Российской Федерации" (2020 - 2021 гг.) и "Языковая и социально-культурная адаптация детей с миграционной историей в российских образовательных организациях" (с 2022 г.). Общее число опрошенных педагогов и администраторов составило 423 человека в 2020 - 2021 гг. и еще 117 человек в 2022 году из Калужской, Курской, Московской, Ленинградской, Новосибирской, Омской, Оренбургской, Рязанской, Саратовской, Свердловской, Томской областей, Краснодарского и Пермского края, города Санкт-Петербурга, Республик Чувашия и Саха (Якутия) и Ямало-Ненецкого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Итоги многочисленных бесед подтверждают предположение о том, что при наличии в классе (группе) детей иностранных граждан, слабо владеющих русским языком и имеющих иные выраженные особые образовательные потребности, в количестве более 3 (трех) человек, педагоги фиксируют недостаточность временных и прочих ресурсов для реализации дифференцированного подхода к таким обучающимся (подбор адаптированных заданий, более активное включение в коммуникацию, дополнительные объяснения пройденных тем и т.п.) в целях достижения ими требуемых образовательных результатов. Все образовательные организации, включенные в названные выше проекты, имели на момент активного взаимодействия с ними более 3% обучающихся детей иностранных граждан в своем контингенте, и можно однозначно сказать, что данные образовательные организации однозначно нуждаются в дополнительной финансовой и методической поддержке, особенно в части организации дополнительной языковой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в 2022 г. в рамках НИР "Научно-методическая разработка и апробация системы выявления особых образовательных потребностей несовершеннолетних иностранных граждан и необходимого психолого-педагогического сопровождения процессов их обучения, социальной и культурной адаптации" проводилось эмпирическое исследование-апробация программы педагогической оценки особых образовательных потребностей несовершеннолетних иностранных граждан в области психологического благополучия, социальных навыков и культурной адаптации.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исследование были включены 786 детей иностранных граждан из 12 регионов России из начальной, средней и старшей школы. По результатам исследования обнаружено, что в целом 10% детей иностранных граждан характеризуются высоким риском дезадаптации и отличаются низкими показателями культурной адаптации, психологического благополучия и социальных навыков. Основываясь на данном соотношении, не рекомендуется присутствие в одном классе более 3-х детей (10% от класса в 30 человек) с выраженными особыми образовательными потребностями, в том числе характеризующихся низкими показателями в области культурной адаптации, психологического благополучия и социальных навыков.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ФГБОУ ВО МГППУ в рамках выполнения государственного задания Минпросвещения России разработана программа психолого-педагогической оценки особых образовательных потребностей детей иностранных граждан в сферах психологического благополучия, социальных навыков и культурной адаптации. Результаты апробации программы показали возможность ее использования в процессе диагностики особых образовательных потребностей несовершеннолетних иностранных граждан, осуществляемой педагогом - психологом образовательного учреждения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Программа оценки особых образовательных потребностей детей - иностранных граждан в сферах психологического благополучия, социальных навыков и культурной адаптации./Под ред. О.Е. Хухлаева, М.Ю. Чибисовой и Н.В. Ткаченко М.: ФГБОУ ВО МГППУ, 2022. - 238 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оценки образовательных потребностей, связанных с психологическим благополучием и культурной адаптацией, разработано два набора методик, составляющих базовый и расширенный наборы оценки, в трех вариантах каждый: для начального общего, основного общего и среднего общего образования. Для оценки образовательных потребностей, связанных с социальными навыками, в базовом наборе для всех трех уровней общего образования используется единый инструмент, который в расширенном дополняется наблюдением и интервьюированием.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Базовый набор подходит для скрининговой диагностики и включает методики, позволяющие сделать обоснованный вывод о психологическом благополучии, социальных навыках и культурной адаптации ребенка-мигранта, проведение и обработка которых возможны в короткие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у ребенка трудностей в ходе применения базового набора рекомендуется дополнить диагностику методиками из расширенного набора, предоставляющего возможность для более углубленной и дифференцированной оценки образовательных потребностей. Методики из расширенного набора могут применяться по отдельности в зависимости от того, какой именно параметр следует рассмотреть более детально.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апреле-мае 2022 года во ФГБОУ ВО МГППУ была реализована программа дополнительного профессионального образования "Психолого-педагогическая оценка особых образовательных потребностей детей иностранных граждан в сферах психологического благополучия, социальных навыков и культурной адаптации" (72 часа, https://dpo.mgppu.ru/programs/elements/prof-6/) в которой приняли участие педагоги-психологи общеобразовательных учреждений из 12 субъектов Российской Федерации, где учатся несовершеннолетние иностранные граждане. Программа дополнительного профессионального образования подготовлена с применением электронного контента и дистанционных технологий и будет выступать основным механизмом трансляции программы "Психолого-педагогическая оценка особых образовательных потребностей детей иностранных граждан в сферах психологического благополучия, социальных навыков и культурной адаптации".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психолого-педагогической оценки особых образовательных потребностей детей иностранных граждан в сферах психологического благополучия, социальных навыков и культурной адаптации доступна для широкого круга пользователей на сайте Федерального координационного ресурсного центра по психологической и социокультурной адаптации несовершеннолетних иностранных граждан ФГБОУ ВО МГППУ (http://fkrc.mgppu.ru/).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Организация работы образовательных организаций, имеющих</w:t>
      </w:r>
    </w:p>
    <w:p>
      <w:pPr>
        <w:pStyle w:val="2"/>
        <w:jc w:val="center"/>
      </w:pPr>
      <w:r>
        <w:rPr>
          <w:sz w:val="20"/>
        </w:rPr>
        <w:t xml:space="preserve">в своем составе несовершеннолетних иностранных граждан</w:t>
      </w:r>
    </w:p>
    <w:p>
      <w:pPr>
        <w:pStyle w:val="2"/>
        <w:jc w:val="center"/>
      </w:pPr>
      <w:r>
        <w:rPr>
          <w:sz w:val="20"/>
        </w:rPr>
        <w:t xml:space="preserve">и детей с миграционной историей, слабо владеющих</w:t>
      </w:r>
    </w:p>
    <w:p>
      <w:pPr>
        <w:pStyle w:val="2"/>
        <w:jc w:val="center"/>
      </w:pPr>
      <w:r>
        <w:rPr>
          <w:sz w:val="20"/>
        </w:rPr>
        <w:t xml:space="preserve">или не владеющих русским языком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Организация работы образовательных организаций по вопросам социальной, языковой и культурной адаптации обучающихся несовершеннолетних иностранных граждан направлена на обеспечение основных образовательных потребностей несовершеннолетних иностранных граждан и детей с миграционной историей.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связи с этим предлагаются к рассмотрению принципы организации образовательного процесса, зависящие от кадрового обеспечения образовательной организации и соотношения обучающихся несовершеннолетних иностранных граждан и граждан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принятия дополнительных мер по обеспечению процесса социальной, языковой и культурной адаптации несовершеннолетних иностранных граждан и детей с миграционной историей на уровне субъекта Российской Федерации целесообразно организовать на системной основе проведение мониторинга о наполняемости образовательных организаций обучающимися, имеющими иностранное гражданство (в том числе, имеющими два гражданства и более), несовершеннолетними лицами без гражданства, несовершеннолетними, имеющими миграционную историю и учета численности обучающихся, слабо владеющих или не владеющих русским языком.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понятийным аппаратом </w:t>
      </w:r>
      <w:hyperlink w:history="0" r:id="rId42" w:tooltip="Приказ ФАДН России от 17.11.2020 N 142 &quot;Об утверждении Методических рекомендаций для органов государственной власти субъектов Российской Федерации &quot;О социальной и культурной адаптации и интеграции иностранных граждан в Российской Федерации&quot; {КонсультантПлюс}">
        <w:r>
          <w:rPr>
            <w:sz w:val="20"/>
            <w:color w:val="0000ff"/>
          </w:rPr>
          <w:t xml:space="preserve">Методических рекомендаций</w:t>
        </w:r>
      </w:hyperlink>
      <w:r>
        <w:rPr>
          <w:sz w:val="20"/>
        </w:rPr>
        <w:t xml:space="preserve"> 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 &lt;4&gt;, социальная и культурная адаптация иностранных граждан - это комплекс мер, направленных на оказание законно находящимся на территории Российской Федерации иностранным гражданам содействия 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43" w:tooltip="Приказ ФАДН России от 17.11.2020 N 142 &quot;Об утверждении Методических рекомендаций для органов государственной власти субъектов Российской Федерации &quot;О социальной и культурной адаптации и интеграции иностранных граждан в Российской Федерации&quot; {КонсультантПлюс}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для органов государственной власти субъектов РФ "О социальной и культурной адаптации и интеграции иностранных граждан в РФ". Утв. приказом ФАДН от 17.11.2020 г. N 142. [Электронный ресурс]. URL: https://legalacts.ru/doc/prikaz-fadn-rossii-ot-17112020-n-142-ob-utverzhdenii/(дата обращения: 26 сентября 2022 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1) улучшении навыков владения русским языком;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изучении истории, особенностей культуры и основ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усвоении принятых в российском обществе правил и норм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взаимодействии с органами государственной власти и органами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получении доступа к государственным услугам.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составляющими этого процесса являются языковая, культурная, социальная и психологическая адаптация &lt;5&gt;. Эффективность адаптации несовершеннолетних иностранных граждан к новым условиям в незнакомой им среде является одной из главных задач для создания условий в образовательной организации в обеспечении основных образовательных потребностей данной категории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Омельченко Е.А. Интеграция детей из семей иноэтничных мигрантов в российское общество (историко-этнографическое исследование на материалах системы образования). Диссертация на соискание ученой степени доктора исторических наук. 5.6.4. Этнология, антропология и этнография. М.: 2022.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Формирование единой системы выявления особых образовательных потребностей несовершеннолетних иностранных граждан и детей с миграционной историей, в том числе определения уровня владения русским языком, достаточным для освоения образовательной программы, является основой для принятия управленческих решений по разработке вариантов организации работы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субъектами Российской Федерации остается право выбора формы организации работы (урочная, внеурочная деятельность, дополнительное образование) на уровне общеобразовательных организаций с несовершеннолетними иностранными гражданами и детьми с миграционной историей, не владеющих или слабо владеющих русским языком, так и место их реализации (общеобразовательные организации и (или) организации дополнительного образования детей).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Учитывая опыт регионов, можно констатировать, что социокультурная, языковая и психологическая адаптация несовершеннолетних иностранных граждан и детей с миграционной историей, слабо владеющих или не владеющих русским языком, проходит, как правило, в течение одного года с момента поступления в образовательную организацию. В зависимости от степени овладения русским языком, достаточным для освоения образовательной программы, можно реализовывать одну из предложенных форм организации работы образовательных организаций по языковой, социокультурной адаптации и психолого-педагогическому сопровождению несовершеннолетних иностранных граждан и детей с миграционной историей.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реализации языковой, психологической и социокультурной адаптации несовершеннолетних иностранных граждан в образовательной организации должны быть приняты дополнительные меры управленческого характера: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деятельности психолого-педагогического консилиума и реализации его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системной работы образовательной организации по включению проблематики поликультурного образования языковой, психологической, культурной, социальной адаптации в программу и стратегию развития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квалификации педагогических работников в вопросах языковой, психологической и социокультурной адаптации детей иностранных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учебно-методической литературой;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диагностического инструментария по выявлению основных образовательных потребностей несовершеннолетних иностранных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программы сопровождения несовершеннолетних иностранных граждан по языковой, предметной, психологической, социальной и культурной адаптации.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образовательной деятельности с обучающимися несовершеннолетними иностранными гражданами по языковой, психологической и социокультурной адаптации строится на принципах регулярной диагностики образовательных потребностей несовершеннолетних иностранных гражданин для выстраивания индивидуального образовательного маршрута.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Диагностика образовательных потребностей несовершеннолетних иностранных граждан проводится совместно психолого-педагогическим консилиумом и учителями-предметниками, по результатам которой даются рекомендации и формируется индивидуальный образовательный маршрут по адаптации и социализации несовершеннолетних иностранных граждан и детей с миграционной историей.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психолого-педагогического консилиума проводится на регулярной основе для анализа эффективности текущей работы и внесения необходимых корректировок в работу с несовершеннолетними иностранными гражданами, в том числе в работу по социальной и культурной адаптации.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истечении, как правило, одного года с момента поступления несовершеннолетнего иностранного обучающегося в образовательную организацию необходима организация итогового консилиума, в рамках которого должен быть проведен анализ работы и произведена оценка ее эффективности.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работы с несовершеннолетними иностранными гражданами и детьми с миграционной историей с выраженными основными образовательными потребностями может проходить в индивидуальной и (или) коллективной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Внеурочная деятельность по социализации и адаптации детей иностранных граждан в образовательной организации должна быть ориентирована на преодоление культурных различий и противоречий, на снятие напряженности в ученическом коллективе, на знакомство с русской культурой, обществом, на повышение языковых и культурных компетенций, на организацию проектной работы, на предоставление обучающимся возможности рассказать о своей родной культуре, обычаях, представлениях о мире: "День родного языка", "День дружбы народов" и тому подобное.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форм организации языковой, психологической и социокультурной адаптации несовершеннолетних иностранных граждан и детей с миграционной историей в условиях образовательной организации ключевую роль играют потребности в освоении русского языка, то есть возможность ребенка обучаться на русском языке. В соответствии с этим можно выделить две основные формы организации работы по социальной, языковой и культурной адаптации несовершеннолетних иностранных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Несовершеннолетние иностранные граждане и дети с миграционной историей владеют русским языком, достаточным для освоения программного материала на русском языке, но при этом нуждаются в сопровождении в связи с эмоционально-личностными трудностями, незнанием традиционных российских духовно-нравственных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данном случае несовершеннолетний иностранный гражданин обучается совместно с другими обучающимися в условиях общеобразовательного(ой) класса (группы), при этом в рамках внеучебной работы и дополнительного образования в образовательной организации по необходимости и в соответствии с решением консилиума, реализуются меры его сопровождения и психолого-педагогической поддержки, связанные с удовлетворением основных образовательных потребностей.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Данная форма организации работы предполагает принятие необходимых мер в следующих направлениях деятельности образовательной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языковая адаптация.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урочной деятельности меры индивидуальной поддержки несовершеннолетних иностранных граждан в рамках урока (занятия): дифференцированные задания, предоставление дополнительного времени для выполнения заданий, сокращение количества заданий, выполнение заданий на общем уровне и т.п.).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психологическая адаптация: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урочной деятельности - реализация приемов психолого-педагогической поддержки, создание ситуации успеха;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внеурочной деятельности - содействие через воспитательную работу и психологическое сопровождение преодолению негативных последствий миграционного стресса и обеспечения психологического благополучия, развитию в детях чувства самоуважения и уверенности в себе, а также позитивной этнической идентичности;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дополнительного образования - вовлечение в деятельность кружков и секций с целью обеспечения ситуации успеха.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социальная адаптация: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урочной деятельности - использование социокультурного опыта обучающихся на занятиях; применение технологии "тьюторства" с вовлечением других обучающихся; использование коллаборативных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внеурочной деятельности - вовлечение несовершеннолетних иностранных граждан и детей с миграционной историей во внутришкольные и внутриклассные активности; привлечение родителей (законных представителей) этой категории обучающихся к участию в школьных мероприятиях; поощрение взаимодействия и сотрудничества в детском коллективе между детьми и подростками, принадлежащими к разным этническим группам; формирование социальных навыков в рамках психологического сопровождения; формирование общешкольных просветительских программ с использованием межпредметных связей (например, тематическая программа "Мигранты в истории России: жизнь со знаком плюс", в рамках которой все педагоги-предметники акцентируют внимание на деятелях науки, истории и культуры иностранного происхождения, внесших вклад в развитие России).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культурная адаптация: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урочной деятельности - интеграция межкультурного образовательного контента в преподаваемые в школе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внеурочной деятельности - создание в образовательной организации, в том числе с помощью других обучающихся, среды, которая способствовала бы визуальному знакомству детей иностранных граждан с историей и культурой России, ее цивилизационным наследием, достижениями в разных областях науки, культуры, спорта и другое; освоение культурных норм в рамках психологического сопровождения.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Несовершеннолетние иностранные граждане и дети с миграционной историей не владеющие или плохо владеющие русским языком, не могут осваивать программный материал на русском языке, нуждаются в сопровождении в связи с эмоционально-личностными трудностями, вызванными переживанием миграционного стресса, с незнанием общепризнанных в российском обществе норм и правил с учетом социальных и культурных особенностей территорий, традиционных российских духовно-нравственных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Данная форма организации работы предполагает принятие необходимых мер в следующих направлениях деятельности образовательной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языковая адаптация: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урочной деятельности - в течение, как правило, одного года проводятся интенсивные занятия русским языком с применением методики русского как иностранного по индивидуальному учебному плану. Содержание отдельного курса по освоению русского языка варьируется в зависимости от языковых компетенций несовершеннолетних иностранных граждан по всем видам речевой деятельности: говорение, чтение, аудирование, письмо. В рамках работы класса (группы) предполагается сопровождение заданий отдельным комментарием учителя, включение общих заданий, содержащих сведения о родной культуре обучающихся несовершеннолетних иностранных граждан, выполнение индивидуальной и/или коллективной проектной работы. Так, например, в содержание программы по интенсивному обучению русскому языку как иностранному для детей иностранных граждан и детей с миграционной историей, слабо владеющих русским языком, может быть включено формирование языковых компетенций и совершенствование русского языка как языка не только коммуникации, но и обучения, а социальная адаптация обучающихся в рамках этой программы может осуществляться посредством знакомства с основными правилами поведения и нормами общения в школе, в социокультурной среде города, села, района, где находится образовательная организация &lt;6&gt;;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Дополнительная общеобразовательная общеразвивающая программа по интенсивному обучению русскому языку как иностранному, социальной адаптации детей иностранных граждан и детей с миграционной историей, слабо владеющих русским языком (социально-гуманитарная направленность): возраст обучающихся 6 - 8 лет: программа рассчитана на 104 академических часа/сост. Т.В. Криворучко, Т.И. Сизова, М.Л. Солдатенкова, С.В. Цаларунга - М.: ФГБОУ ВО МГППУ, 2022. - 104 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рамках внеурочной деятельности и дополнительного образования - разговорные клубы, занятия по риторике/развитию речи, учет особых языковых потребностей в организации творческих дополнительных занятий (пение на русском языке и т.п.).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дополнительная предметная подготовка: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урочной деятельности - предложение несовершеннолетним иностранным гражданам адаптированных текстов задач, визуализация контента (таблицы, схемы и т.п.) для облегчения восприятия учебного материала;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внеурочной деятельности - дифференцированная система домашних заданий и проектов, обеспечивающих формирование предметных компетенций.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психологическая адаптация: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урочной деятельности - реализация приемов психолого-педагогической поддержки, создание ситуации успеха;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внеурочной деятельности - содействие (через воспитательную работу и психологическое сопровождение) преодолению негативных последствий миграционного стресса и обеспечению психологического благополучия, развитию в детях чувства самоуважения и уверенности в себе, а также позитивной этнической идентичности;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коррекционно-развивающей деятельности - групповые и индивидуальные занятия с педагогом-психологом;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психопросвещение, консультации с несовершеннолетними иностранными гражданами и их родителями (законными представителями).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социальная и культурная адаптация может быть организована в тех же формах, о которых сказано выше.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Предложенные формы организации работы образовательных организаций по социальной, языковой и культурной адаптации несовершеннолетних иностранных граждан и детей с миграционной историей могут быть реализованы через индивидуальный образовательный маршрут, который формируется с учетом психологических, социокультурных особенностей несовершеннолетних иностранных граждан и детей с миграционной историей, имеет свои этапы и формы реализации, представленные Минпросвещения России в методических рекомендациях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 &lt;7&gt;, &lt;8&gt;,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44" w:tooltip="&lt;Письмо&gt; Минпросвещения России от 16.08.2021 N НН-202/07 &quot;О направлении методических рекомендаций&quot; (вместе с &quot;Методическими рекомендациям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&quot; {КонсультантПлюс}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об организации работы общеобразовательных организаций по языковой и социокультурной адаптации детей иностранных граждан (письмо Минпросвещения России от 16 августа 2021 г., N НН-202/07 ttps://legalacts.ru/doc/metodicheskie-rekomendatsii-organam-ispolnitelnoi-vlasti-subektov-rossiiskoi-federatsii-ob/)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"</w:t>
      </w:r>
      <w:hyperlink w:history="0" r:id="rId45" w:tooltip="&lt;Письмо&gt; Минпросвещения России от 06.05.2022 N ДГ-1050/07 &quot;О направлении методических рекомендаций&quot; (вместе с &quot;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&quot;) {КонсультантПлюс}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об организации работы общеобразовательных организаций по оценке уровня языковой подготовки обучающихся несовершеннолетних иностранных граждан" (письмо Минпросвещения России от 6 мая 2022 г., N ДГ-1050/07) http://www.consultant.ru/document/cons_doc_LAW_424129/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комплектования групп, классов в дошкольных и общеобразовательных организациях детьми иностранных граждан со слабым владением русским языком в количестве более трех человек на группу (класс) рекомендуется индивидуализация содержания образовательной программы в условиях специально отведенного времени по индивидуальному расписанию уроков (занятий), на которых обучаются несовершеннолетние иностранные граждане и дети с миграционной историей, не владеющие или плохо владеющие русским языком, отдельно от других обучающихся класса (группы) по индивидуальному учебному плану.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Индивидуальный учебный план обеспечивает освоение образовательной программы на основе индивидуализации ее содержания с учетом образовательных потребностей несовершеннолетних иностранных граждан и детей с миграционной историей.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4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Закона об образовании, индивидуальный учебный план (ИУП) - это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Подробно использование ИУП для индивидуализации обучения детей иностранных граждан рассмотрено в "</w:t>
      </w:r>
      <w:hyperlink w:history="0" r:id="rId47" w:tooltip="&lt;Письмо&gt; Минпросвещения России от 16.08.2021 N НН-202/07 &quot;О направлении методических рекомендаций&quot; (вместе с &quot;Методическими рекомендациям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&quot; {КонсультантПлюс}">
        <w:r>
          <w:rPr>
            <w:sz w:val="20"/>
            <w:color w:val="0000ff"/>
          </w:rPr>
          <w:t xml:space="preserve">Методических рекомендациях</w:t>
        </w:r>
      </w:hyperlink>
      <w:r>
        <w:rPr>
          <w:sz w:val="20"/>
        </w:rPr>
        <w:t xml:space="preserve">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граждан", направленных руководителям органов исполнительной власти субъектов Российской Федерации, осуществляющих государственное управление в сфере образования (письмо Минпросвещения Российской Федерации от 16 августа 2021 года N НН-202/07).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8" w:tooltip="&lt;Письмо&gt; Минпросвещения России от 26.02.2021 N 03-205 &quot;О методических рекомендациях&quot; (вместе с &quot;Методическими рекомендациями по обеспечению возможности освоения основных образовательных программ обучающимися 5 - 11 классов по индивидуальному учебному плану&quot;) {КонсультантПлюс}">
        <w:r>
          <w:rPr>
            <w:sz w:val="20"/>
            <w:color w:val="0000ff"/>
          </w:rPr>
          <w:t xml:space="preserve">письме</w:t>
        </w:r>
      </w:hyperlink>
      <w:r>
        <w:rPr>
          <w:sz w:val="20"/>
        </w:rPr>
        <w:t xml:space="preserve"> Министерства просвещения Российской Федерации от 26 февраля 2021 г. N 03-205 "О методических рекомендациях", разъяснено, что в соответствии с </w:t>
      </w:r>
      <w:hyperlink w:history="0" r:id="rId4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пунктом 3 части 1 статьи 34</w:t>
        </w:r>
      </w:hyperlink>
      <w:r>
        <w:rPr>
          <w:sz w:val="20"/>
        </w:rPr>
        <w:t xml:space="preserve"> Закона об образовании предусмотрено право обучающегося на обучение по индивидуальному учебному плану (далее - ИУП), в том числе ускоренному обучению, в пределах осваиваемой образовательной программы в порядке, установленном локальными нормативными актами организации, осуществляющей образовательную деятельность. Право на обучение по ИУП предоставляется любому обучающемуся в организации независимо от причин возникновения потребности в обучении по ИУП, в том числе несовершеннолетним иностранным гражданам и детям с миграционной историей. В силу действия </w:t>
      </w:r>
      <w:hyperlink w:history="0" r:id="rId5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части 9 статьи 58</w:t>
        </w:r>
      </w:hyperlink>
      <w:r>
        <w:rPr>
          <w:sz w:val="20"/>
        </w:rPr>
        <w:t xml:space="preserve"> Закона об образовании на обучение по ИУП также могут быть переведены обучающиеся, в том числе несовершеннолетние иностранные граждане на основании заявления родителя (законного представителя).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ИУП осуществляется в пределах осваиваемой обучающимся образовательной программы соответствующего уровня в реализуемых организацией формах. ИУП разрабатывается в соответствии со спецификой и возможностями организации. ИУП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на обучение по ИУП оформляется приказом руководителя организации. ИУП утверждается решением педагогического совета организации. Индивидуальное расписание занятий, перечень программ обучения по учебным предметам, количество часов, формы и сроки текущего и итогового контроля, педагоги, ведущие обучение, оформляются приказом руководителя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ИУП обеспечивает освоение образовательной программы на основе индивидуализации ее содержания с учетом образовательных потребностей обучающихся, в том числе несовершеннолетних иностранных граждан и детей с миграционной историей. При этом возможно введение специально разработанных учебных предметов (курсов), обеспечивающих интересы и потребности обучающихся, в том числе этнокультурные (с учетом возможностей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несовершеннолетних иностранных граждан и детей с миграционной историей, а также и их родителей (законных представителей) может быть негативное отношение к педагогу, одноклассникам, условиям обучения, внутришкольным правилам поведения (при недостаточном владении русским языком, незнании основ русской культуры, норм поведения в российском обществе).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Поэтому в объем и содержание ИУП в урочную, внеурочную деятельность могут быть включены мероприятия, направленные на организацию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них, на осуществление воспитательного воздействия в целях их интеграции в систему ценностей российского общества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51" w:tooltip="&lt;Письмо&gt; Минпросвещения России от 12.09.2022 N 07-6179 &quot;О направлении методических рекомендаций&quot; {КонсультантПлюс}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организации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них, в том числе с учетом национального и религиозного фактора/сост. Т.И. Сизова, М.Л. Солдатенкова, Т.В. Криворучко. - Москва: ФГБОУ ВО МГППУ, 2022. - 39 с.)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Таким образом, при переводе на ИУП возможно учесть как уровень владения русским языком и соответствующие потребности в его освоении, так и психологического благополучия, социальных навыков и культурной адаптации.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Значимым условием для качественной разработки и реализации ИУП может быть рекомендовано введение в штатное расписание организации тьютора, который организует процесс индивидуальной работы с несовершеннолетними иностранными гражданами и детьми с миграционной историей, по выявлению, формированию и развитию их познавательных интересов, вносит важный вклад в составление ИУП, организует взаимодействие обучающегося данной категории с родителями (законными представителями), учителями и другими педагогическими работниками по реализации и (при необходимости) коррекции ИУП.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Заключение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целом, вопросы учета соотношения численности совместно обучающихся иностранных граждан и граждан Российской Федерации и выбора вариативных форм организации работы по их социальной, языковой и культурной адаптации остаются за субъектами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Оптимальное соотношение численности обучающихся иностранных граждан в общей численности обучающихся иных категорий рекомендуется соотносить со степенью выраженности особых образовательных потребностей детей иностранных граждан и возможностями общеобразовательной организации для их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Субъектам Российской Федерации рекомендуется при разработке и утверждении Методики формирования фонда оплаты труда общеобразовательных организаций в конкретном регионе применять поправочный коэффициент, в дополнение к региональному подушевому нормативу финансового обеспечения расходов, на предоставление общедоступного и бесплатного дошкольного, начального общего, основного общего,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Вариативные формы работы образовательной организации по социальной, языковой и культурной адаптации обучающихся несовершеннолетних иностранных граждан и детей с миграционной историей помогут обеспечить образовательные потребности обучающихся несовершеннолетних иностранных граждан в части повышения уровня владения русским языком, развития навыка освоения образовательной программы на русском языке, устранения несоответствия в уровне знаний, усвоения ими общепризнанных в российском обществе норм поведения (правил общежития), формирования у них присущих российскому обществу правосознания и правовой культуры, снятия психоэмоционального напряжения.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Общие управленческие решения для обеих описанных выше форм организации работы с несовершеннолетними иностранными гражданами и детьми с миграционной историей могут предполагать: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включение в планы работы образовательной организации тематических классных часов, педагогических советов, родительских собраний по вопросам интеграции детей иностранных граждан и детей с миграционным опытом и организации деятельности в многонациональном коллективе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активизация работы с семьями обучающихся с миграционной историей, возможно - организация курсов русского языка как иностранного для родителей учащихся и (или) воспитанников и членов их семей.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both"/>
      </w:pPr>
      <w:r>
        <w:rPr>
          <w:sz w:val="20"/>
        </w:rPr>
      </w:r>
    </w:p>
    <w:bookmarkStart w:id="262" w:name="P262"/>
    <w:bookmarkEnd w:id="26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ФЕДЕРАЦИИ, ПРЕДСТАВИВШИХ ИНФОРМАЦИЮ</w:t>
      </w:r>
    </w:p>
    <w:p>
      <w:pPr>
        <w:pStyle w:val="2"/>
        <w:jc w:val="center"/>
      </w:pPr>
      <w:r>
        <w:rPr>
          <w:sz w:val="20"/>
        </w:rPr>
        <w:t xml:space="preserve">О НАИБОЛЬШЕМ КОЛИЧЕСТВЕ НЕСОВЕРШЕННОЛЕТНИХ ОБУЧАЮЩИХСЯ</w:t>
      </w:r>
    </w:p>
    <w:p>
      <w:pPr>
        <w:pStyle w:val="2"/>
        <w:jc w:val="center"/>
      </w:pPr>
      <w:r>
        <w:rPr>
          <w:sz w:val="20"/>
        </w:rPr>
        <w:t xml:space="preserve">ИНОСТРАННЫХ ГРАЖДАН В 2022 ГОДУ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1628"/>
        <w:gridCol w:w="1628"/>
        <w:gridCol w:w="1628"/>
        <w:gridCol w:w="1631"/>
      </w:tblGrid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в рейтинге Российских регионов по качеству образования Рособрнадзора по итогам 2022 г.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Интегральный рейтинг социально-экономического положения регионов по итогам 2022 г.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 обучающихся в общеобразовательных организациях</w:t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обучающихся иностранных граждан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65,3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1010529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37094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Москва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92,0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1091922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31204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92,1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564911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14842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68,9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553025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8790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56.6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363868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6100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Краснодарский край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55,0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744386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5795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Ростовская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43,6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451099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4980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51,3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367143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4780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59,0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121217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4760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77,1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186396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4576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Самарская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67,4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358841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4322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64,9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433352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3869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Ханты-Мансийский автономный округ - Югра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54,2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236365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3584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60,9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486615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3471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35,2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230336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3057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41,9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146968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3016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Тюменская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42.0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236086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2934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Ставропольский край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59,7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319555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2713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Воронежская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45.7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246453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2540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49,9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343270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2331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ОБЩЕЕ ЧИСЛО</w:t>
      </w:r>
    </w:p>
    <w:p>
      <w:pPr>
        <w:pStyle w:val="2"/>
        <w:jc w:val="center"/>
      </w:pPr>
      <w:r>
        <w:rPr>
          <w:sz w:val="20"/>
        </w:rPr>
        <w:t xml:space="preserve">ОБЩЕОБРАЗОВАТЕЛЬНЫХ ОРГАНИЗАЦИЙ С РАЗЛИЧНЫМ СООТНОШЕНИЕМ</w:t>
      </w:r>
    </w:p>
    <w:p>
      <w:pPr>
        <w:pStyle w:val="2"/>
        <w:jc w:val="center"/>
      </w:pPr>
      <w:r>
        <w:rPr>
          <w:sz w:val="20"/>
        </w:rPr>
        <w:t xml:space="preserve">КОЛИЧЕСТВА ОБУЧАЮЩИХСЯ ИНОСТРАННЫХ ГРАЖДАН</w:t>
      </w:r>
    </w:p>
    <w:p>
      <w:pPr>
        <w:pStyle w:val="2"/>
        <w:jc w:val="center"/>
      </w:pPr>
      <w:r>
        <w:rPr>
          <w:sz w:val="20"/>
        </w:rPr>
        <w:t xml:space="preserve">В ОБЩЕОБРАЗОВАТЕЛЬНЫХ ОРГАНИЗАЦИЯХ В СУБЪЕКТАХ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Общее число общеобразовательных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с соотношением количества обучающихся иностранных граждан</w:t>
      </w:r>
    </w:p>
    <w:p>
      <w:pPr>
        <w:pStyle w:val="2"/>
        <w:jc w:val="center"/>
      </w:pPr>
      <w:r>
        <w:rPr>
          <w:sz w:val="20"/>
        </w:rPr>
        <w:t xml:space="preserve">в общеобразовательных организациях от 3% до 10% в субъектах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в 2022 году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4"/>
        <w:gridCol w:w="4534"/>
      </w:tblGrid>
      <w:tr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общеобразовательных организаций с соотношением 3% - 10%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Москва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Самарская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Белгородская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Адыгея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Ростовская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Воронежская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Курская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Омская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Волгоградская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Ставропольский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Саха (Якутия)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Орловская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Рязанская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Ханты-Мансийский автономный округ - Югра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Ярославская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Ульяновская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Липецкая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Пензенская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Хабаровский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Саратовская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Сахалинская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Севастополь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Тюменская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Калининградская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Псковская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Удмуртская Республика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Новгородская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Ямало-Ненецкий автономный округ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Вологодская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Кабардино-Балкарская Республика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Мордовия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Костромская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Коми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Забайкальский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Калмыкия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Томская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Чувашская Республика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Бурятия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Чеченская Республика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Общее число общеобразовательных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с соотношением количества обучающихся иностранных граждан</w:t>
      </w:r>
    </w:p>
    <w:p>
      <w:pPr>
        <w:pStyle w:val="2"/>
        <w:jc w:val="center"/>
      </w:pPr>
      <w:r>
        <w:rPr>
          <w:sz w:val="20"/>
        </w:rPr>
        <w:t xml:space="preserve">в общеобразовательных организациях от 10% до 20% в субъектах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в 2022 году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4"/>
        <w:gridCol w:w="4534"/>
      </w:tblGrid>
      <w:tr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общеобразовательных организаций с соотношением от 10% до 20%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Москва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Воронежская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Самарская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Белгородская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Костромская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Орловская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Рязанская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Курская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Хабаровский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Ярославская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Пензенская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Сахалинская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Ханты-Мансийский автономный округ - Югра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Ростовская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Саратовская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Ставропольский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Ульяновская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Кабардино-Балкарская Республика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Новгородская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Общее число общеобразовательных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с соотношением количества обучающихся иностранных граждан</w:t>
      </w:r>
    </w:p>
    <w:p>
      <w:pPr>
        <w:pStyle w:val="2"/>
        <w:jc w:val="center"/>
      </w:pPr>
      <w:r>
        <w:rPr>
          <w:sz w:val="20"/>
        </w:rPr>
        <w:t xml:space="preserve">в общеобразовательных организациях от 20% до 50% в субъектах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в 2022 году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4"/>
        <w:gridCol w:w="4534"/>
      </w:tblGrid>
      <w:tr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общеобразовательных организаций с соотношением 20% - 50%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Саратовская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Пензенская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Москва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Самарская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Воронежская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Белгородская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Ульяновская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Ростовская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Рязанская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Сахалинская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Кабардино-Балкарская Республика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Липецкая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Псковская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Ярославская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679" w:name="P679"/>
    <w:bookmarkEnd w:id="679"/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2.4. Общее число общеобразовательных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с соотношением количества обучающихся иностранных граждан</w:t>
      </w:r>
    </w:p>
    <w:p>
      <w:pPr>
        <w:pStyle w:val="2"/>
        <w:jc w:val="center"/>
      </w:pPr>
      <w:r>
        <w:rPr>
          <w:sz w:val="20"/>
        </w:rPr>
        <w:t xml:space="preserve">в классах общеобразовательных организаций в субъектах</w:t>
      </w:r>
    </w:p>
    <w:p>
      <w:pPr>
        <w:pStyle w:val="2"/>
        <w:jc w:val="center"/>
      </w:pPr>
      <w:r>
        <w:rPr>
          <w:sz w:val="20"/>
        </w:rPr>
        <w:t xml:space="preserve">Российской Федерации с наиболее высоким соотношением</w:t>
      </w:r>
    </w:p>
    <w:p>
      <w:pPr>
        <w:pStyle w:val="2"/>
        <w:jc w:val="center"/>
      </w:pPr>
      <w:r>
        <w:rPr>
          <w:sz w:val="20"/>
        </w:rPr>
        <w:t xml:space="preserve">обучающихся иностранных граждан в целом в 2022 году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1757"/>
        <w:gridCol w:w="1191"/>
        <w:gridCol w:w="1361"/>
        <w:gridCol w:w="1020"/>
        <w:gridCol w:w="1704"/>
        <w:gridCol w:w="1531"/>
      </w:tblGrid>
      <w:tr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 обучающихся в общеобразовательных организациях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обучающихся иностранных граждан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Обучающихся иностранных граждан в субъекте РФ</w:t>
            </w:r>
          </w:p>
        </w:tc>
        <w:tc>
          <w:tcPr>
            <w:gridSpan w:val="3"/>
            <w:tcW w:w="42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классов, в которых обучаются несовершеннолетние иностранные граждане (в том числе &lt;**&gt;), несовершеннолетние лица без гражданства в количестве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3-х человек</w:t>
            </w:r>
          </w:p>
        </w:tc>
        <w:tc>
          <w:tcPr>
            <w:tcW w:w="17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4-х до 12-ти человек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12-ти человек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121217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4760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3,93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1445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Московская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1010529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37094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3,67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12257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Москва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1091922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31204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2,86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13505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1881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564911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14842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5163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1082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186396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4576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2,45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2136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146968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3016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1461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Сахалинская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62322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1275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2.05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Город Севастополь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52327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1,76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363868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6100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553025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8790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3399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Ханты-Мансийский автономный округ - Югра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236365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3584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1724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141189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2060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150421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1070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230336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3057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1636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Белгородская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170027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2263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1536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367143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4780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2193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Магаданская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16170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2"/>
      <w:headerReference w:type="first" r:id="rId52"/>
      <w:footerReference w:type="default" r:id="rId53"/>
      <w:footerReference w:type="first" r:id="rId5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31.07.2024 N 07-3637</w:t>
            <w:br/>
            <w:t>"О методических рекомендациях"</w:t>
            <w:br/>
            <w:t>(вместе с "Методическими рекоменда...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31.07.2024 N 07-3637</w:t>
            <w:br/>
            <w:t>"О методических рекомендациях"</w:t>
            <w:br/>
            <w:t>(вместе с "Методическими рекоменда...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84546&amp;dst=100013" TargetMode = "External"/>
	<Relationship Id="rId8" Type="http://schemas.openxmlformats.org/officeDocument/2006/relationships/hyperlink" Target="https://login.consultant.ru/link/?req=doc&amp;base=LAW&amp;n=460098" TargetMode = "External"/>
	<Relationship Id="rId9" Type="http://schemas.openxmlformats.org/officeDocument/2006/relationships/hyperlink" Target="https://login.consultant.ru/link/?req=doc&amp;base=LAW&amp;n=458212" TargetMode = "External"/>
	<Relationship Id="rId10" Type="http://schemas.openxmlformats.org/officeDocument/2006/relationships/hyperlink" Target="https://login.consultant.ru/link/?req=doc&amp;base=LAW&amp;n=469819" TargetMode = "External"/>
	<Relationship Id="rId11" Type="http://schemas.openxmlformats.org/officeDocument/2006/relationships/hyperlink" Target="https://login.consultant.ru/link/?req=doc&amp;base=LAW&amp;n=384546&amp;dst=100013" TargetMode = "External"/>
	<Relationship Id="rId12" Type="http://schemas.openxmlformats.org/officeDocument/2006/relationships/hyperlink" Target="https://login.consultant.ru/link/?req=doc&amp;base=LAW&amp;n=2875&amp;dst=100230" TargetMode = "External"/>
	<Relationship Id="rId13" Type="http://schemas.openxmlformats.org/officeDocument/2006/relationships/hyperlink" Target="https://login.consultant.ru/link/?req=doc&amp;base=LAW&amp;n=500133" TargetMode = "External"/>
	<Relationship Id="rId14" Type="http://schemas.openxmlformats.org/officeDocument/2006/relationships/hyperlink" Target="https://login.consultant.ru/link/?req=doc&amp;base=LAW&amp;n=500133&amp;dst=101030" TargetMode = "External"/>
	<Relationship Id="rId15" Type="http://schemas.openxmlformats.org/officeDocument/2006/relationships/hyperlink" Target="https://login.consultant.ru/link/?req=doc&amp;base=LAW&amp;n=500133&amp;dst=100079" TargetMode = "External"/>
	<Relationship Id="rId16" Type="http://schemas.openxmlformats.org/officeDocument/2006/relationships/hyperlink" Target="https://login.consultant.ru/link/?req=doc&amp;base=LAW&amp;n=460098&amp;dst=100073" TargetMode = "External"/>
	<Relationship Id="rId17" Type="http://schemas.openxmlformats.org/officeDocument/2006/relationships/hyperlink" Target="https://login.consultant.ru/link/?req=doc&amp;base=LAW&amp;n=460098&amp;dst=100054" TargetMode = "External"/>
	<Relationship Id="rId18" Type="http://schemas.openxmlformats.org/officeDocument/2006/relationships/hyperlink" Target="https://login.consultant.ru/link/?req=doc&amp;base=LAW&amp;n=458212&amp;dst=5" TargetMode = "External"/>
	<Relationship Id="rId19" Type="http://schemas.openxmlformats.org/officeDocument/2006/relationships/hyperlink" Target="https://login.consultant.ru/link/?req=doc&amp;base=LAW&amp;n=458212&amp;dst=6" TargetMode = "External"/>
	<Relationship Id="rId20" Type="http://schemas.openxmlformats.org/officeDocument/2006/relationships/hyperlink" Target="https://login.consultant.ru/link/?req=doc&amp;base=LAW&amp;n=458212&amp;dst=9" TargetMode = "External"/>
	<Relationship Id="rId21" Type="http://schemas.openxmlformats.org/officeDocument/2006/relationships/hyperlink" Target="https://login.consultant.ru/link/?req=doc&amp;base=LAW&amp;n=500133&amp;dst=100900" TargetMode = "External"/>
	<Relationship Id="rId22" Type="http://schemas.openxmlformats.org/officeDocument/2006/relationships/hyperlink" Target="https://login.consultant.ru/link/?req=doc&amp;base=LAW&amp;n=500133&amp;dst=396" TargetMode = "External"/>
	<Relationship Id="rId23" Type="http://schemas.openxmlformats.org/officeDocument/2006/relationships/hyperlink" Target="https://login.consultant.ru/link/?req=doc&amp;base=LAW&amp;n=500133" TargetMode = "External"/>
	<Relationship Id="rId24" Type="http://schemas.openxmlformats.org/officeDocument/2006/relationships/hyperlink" Target="https://login.consultant.ru/link/?req=doc&amp;base=LAW&amp;n=500133&amp;dst=1036" TargetMode = "External"/>
	<Relationship Id="rId25" Type="http://schemas.openxmlformats.org/officeDocument/2006/relationships/hyperlink" Target="https://login.consultant.ru/link/?req=doc&amp;base=LAW&amp;n=460098&amp;dst=100039" TargetMode = "External"/>
	<Relationship Id="rId26" Type="http://schemas.openxmlformats.org/officeDocument/2006/relationships/hyperlink" Target="https://login.consultant.ru/link/?req=doc&amp;base=LAW&amp;n=458212&amp;dst=100073" TargetMode = "External"/>
	<Relationship Id="rId27" Type="http://schemas.openxmlformats.org/officeDocument/2006/relationships/hyperlink" Target="https://login.consultant.ru/link/?req=doc&amp;base=LAW&amp;n=500133&amp;dst=100048" TargetMode = "External"/>
	<Relationship Id="rId28" Type="http://schemas.openxmlformats.org/officeDocument/2006/relationships/hyperlink" Target="https://login.consultant.ru/link/?req=doc&amp;base=LAW&amp;n=500133&amp;dst=100378" TargetMode = "External"/>
	<Relationship Id="rId29" Type="http://schemas.openxmlformats.org/officeDocument/2006/relationships/hyperlink" Target="https://login.consultant.ru/link/?req=doc&amp;base=LAW&amp;n=469819&amp;dst=100105" TargetMode = "External"/>
	<Relationship Id="rId30" Type="http://schemas.openxmlformats.org/officeDocument/2006/relationships/hyperlink" Target="https://login.consultant.ru/link/?req=doc&amp;base=LAW&amp;n=500133&amp;dst=100567" TargetMode = "External"/>
	<Relationship Id="rId31" Type="http://schemas.openxmlformats.org/officeDocument/2006/relationships/hyperlink" Target="https://login.consultant.ru/link/?req=doc&amp;base=LAW&amp;n=486034&amp;dst=100452" TargetMode = "External"/>
	<Relationship Id="rId32" Type="http://schemas.openxmlformats.org/officeDocument/2006/relationships/hyperlink" Target="https://login.consultant.ru/link/?req=doc&amp;base=LAW&amp;n=469819&amp;dst=100014" TargetMode = "External"/>
	<Relationship Id="rId33" Type="http://schemas.openxmlformats.org/officeDocument/2006/relationships/hyperlink" Target="https://login.consultant.ru/link/?req=doc&amp;base=LAW&amp;n=486034&amp;dst=100047" TargetMode = "External"/>
	<Relationship Id="rId34" Type="http://schemas.openxmlformats.org/officeDocument/2006/relationships/hyperlink" Target="https://login.consultant.ru/link/?req=doc&amp;base=LAW&amp;n=441707" TargetMode = "External"/>
	<Relationship Id="rId35" Type="http://schemas.openxmlformats.org/officeDocument/2006/relationships/hyperlink" Target="https://login.consultant.ru/link/?req=doc&amp;base=LAW&amp;n=486034&amp;dst=100121" TargetMode = "External"/>
	<Relationship Id="rId36" Type="http://schemas.openxmlformats.org/officeDocument/2006/relationships/hyperlink" Target="https://login.consultant.ru/link/?req=doc&amp;base=LAW&amp;n=486034&amp;dst=100475" TargetMode = "External"/>
	<Relationship Id="rId37" Type="http://schemas.openxmlformats.org/officeDocument/2006/relationships/hyperlink" Target="http://1sep.edu.ru" TargetMode = "External"/>
	<Relationship Id="rId38" Type="http://schemas.openxmlformats.org/officeDocument/2006/relationships/hyperlink" Target="https://login.consultant.ru/link/?req=doc&amp;base=LAW&amp;n=400188&amp;dst=100001" TargetMode = "External"/>
	<Relationship Id="rId39" Type="http://schemas.openxmlformats.org/officeDocument/2006/relationships/hyperlink" Target="https://login.consultant.ru/link/?req=doc&amp;base=LAW&amp;n=400188" TargetMode = "External"/>
	<Relationship Id="rId40" Type="http://schemas.openxmlformats.org/officeDocument/2006/relationships/hyperlink" Target="https://login.consultant.ru/link/?req=doc&amp;base=LAW&amp;n=400188&amp;dst=100001" TargetMode = "External"/>
	<Relationship Id="rId41" Type="http://schemas.openxmlformats.org/officeDocument/2006/relationships/hyperlink" Target="https://login.consultant.ru/link/?req=doc&amp;base=LAW&amp;n=486034&amp;dst=100452" TargetMode = "External"/>
	<Relationship Id="rId42" Type="http://schemas.openxmlformats.org/officeDocument/2006/relationships/hyperlink" Target="https://login.consultant.ru/link/?req=doc&amp;base=LAW&amp;n=369347&amp;dst=100012" TargetMode = "External"/>
	<Relationship Id="rId43" Type="http://schemas.openxmlformats.org/officeDocument/2006/relationships/hyperlink" Target="https://login.consultant.ru/link/?req=doc&amp;base=LAW&amp;n=369347&amp;dst=100012" TargetMode = "External"/>
	<Relationship Id="rId44" Type="http://schemas.openxmlformats.org/officeDocument/2006/relationships/hyperlink" Target="https://login.consultant.ru/link/?req=doc&amp;base=LAW&amp;n=400188&amp;dst=100001" TargetMode = "External"/>
	<Relationship Id="rId45" Type="http://schemas.openxmlformats.org/officeDocument/2006/relationships/hyperlink" Target="https://login.consultant.ru/link/?req=doc&amp;base=LAW&amp;n=424129&amp;dst=100006" TargetMode = "External"/>
	<Relationship Id="rId46" Type="http://schemas.openxmlformats.org/officeDocument/2006/relationships/hyperlink" Target="https://login.consultant.ru/link/?req=doc&amp;base=LAW&amp;n=500133&amp;dst=100012" TargetMode = "External"/>
	<Relationship Id="rId47" Type="http://schemas.openxmlformats.org/officeDocument/2006/relationships/hyperlink" Target="https://login.consultant.ru/link/?req=doc&amp;base=LAW&amp;n=400188&amp;dst=100001" TargetMode = "External"/>
	<Relationship Id="rId48" Type="http://schemas.openxmlformats.org/officeDocument/2006/relationships/hyperlink" Target="https://login.consultant.ru/link/?req=doc&amp;base=LAW&amp;n=380180" TargetMode = "External"/>
	<Relationship Id="rId49" Type="http://schemas.openxmlformats.org/officeDocument/2006/relationships/hyperlink" Target="https://login.consultant.ru/link/?req=doc&amp;base=LAW&amp;n=500133&amp;dst=100480" TargetMode = "External"/>
	<Relationship Id="rId50" Type="http://schemas.openxmlformats.org/officeDocument/2006/relationships/hyperlink" Target="https://login.consultant.ru/link/?req=doc&amp;base=LAW&amp;n=500133&amp;dst=100794" TargetMode = "External"/>
	<Relationship Id="rId51" Type="http://schemas.openxmlformats.org/officeDocument/2006/relationships/hyperlink" Target="https://login.consultant.ru/link/?req=doc&amp;base=EXP&amp;n=807583&amp;dst=100004" TargetMode = "External"/>
	<Relationship Id="rId52" Type="http://schemas.openxmlformats.org/officeDocument/2006/relationships/header" Target="header2.xml"/>
	<Relationship Id="rId5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31.07.2024 N 07-3637
"О методических рекомендациях"
(вместе с "Методическими рекомендациями по определению подходов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обеспечению эффективной реализации образовательного процесса в целом, при комплектовании групп, классов в дошкольных образовательных и общеобразова</dc:title>
  <dcterms:created xsi:type="dcterms:W3CDTF">2025-03-18T14:04:43Z</dcterms:created>
</cp:coreProperties>
</file>